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DAA" w:rsidRPr="006F7DAA" w:rsidRDefault="006F7DAA" w:rsidP="006F7DAA">
      <w:pPr>
        <w:spacing w:line="480" w:lineRule="auto"/>
        <w:rPr>
          <w:rFonts w:ascii="Times New Roman" w:hAnsi="Times New Roman" w:cs="Times New Roman"/>
          <w:sz w:val="24"/>
          <w:szCs w:val="24"/>
        </w:rPr>
      </w:pPr>
      <w:bookmarkStart w:id="0" w:name="_GoBack"/>
      <w:bookmarkEnd w:id="0"/>
    </w:p>
    <w:p w:rsidR="006F7DAA" w:rsidRPr="006F7DAA" w:rsidRDefault="006F7DAA" w:rsidP="006F7DAA">
      <w:pPr>
        <w:spacing w:line="480" w:lineRule="auto"/>
        <w:rPr>
          <w:rFonts w:ascii="Times New Roman" w:hAnsi="Times New Roman" w:cs="Times New Roman"/>
          <w:sz w:val="24"/>
          <w:szCs w:val="24"/>
        </w:rPr>
      </w:pPr>
    </w:p>
    <w:p w:rsidR="006F7DAA" w:rsidRDefault="006F7DAA" w:rsidP="006F7DAA">
      <w:pPr>
        <w:spacing w:line="480" w:lineRule="auto"/>
        <w:jc w:val="center"/>
        <w:rPr>
          <w:rFonts w:ascii="Times New Roman" w:hAnsi="Times New Roman" w:cs="Times New Roman"/>
          <w:sz w:val="24"/>
          <w:szCs w:val="24"/>
        </w:rPr>
      </w:pPr>
    </w:p>
    <w:p w:rsidR="006F7DAA" w:rsidRDefault="006F7DAA" w:rsidP="006F7DAA">
      <w:pPr>
        <w:spacing w:line="480" w:lineRule="auto"/>
        <w:jc w:val="center"/>
        <w:rPr>
          <w:rFonts w:ascii="Times New Roman" w:hAnsi="Times New Roman" w:cs="Times New Roman"/>
          <w:sz w:val="24"/>
          <w:szCs w:val="24"/>
        </w:rPr>
      </w:pPr>
    </w:p>
    <w:p w:rsidR="006F7DAA" w:rsidRDefault="006F7DAA" w:rsidP="006F7DAA">
      <w:pPr>
        <w:spacing w:line="480" w:lineRule="auto"/>
        <w:jc w:val="center"/>
        <w:rPr>
          <w:rFonts w:ascii="Times New Roman" w:hAnsi="Times New Roman" w:cs="Times New Roman"/>
          <w:sz w:val="24"/>
          <w:szCs w:val="24"/>
        </w:rPr>
      </w:pPr>
    </w:p>
    <w:p w:rsidR="006F7DAA" w:rsidRDefault="006F7DAA" w:rsidP="006F7DAA">
      <w:pPr>
        <w:spacing w:line="480" w:lineRule="auto"/>
        <w:jc w:val="center"/>
        <w:rPr>
          <w:rFonts w:ascii="Times New Roman" w:hAnsi="Times New Roman" w:cs="Times New Roman"/>
          <w:sz w:val="24"/>
          <w:szCs w:val="24"/>
        </w:rPr>
      </w:pPr>
    </w:p>
    <w:p w:rsidR="006F7DAA" w:rsidRPr="006F7DAA" w:rsidRDefault="006F7DAA" w:rsidP="006F7DAA">
      <w:pPr>
        <w:spacing w:line="480" w:lineRule="auto"/>
        <w:jc w:val="center"/>
        <w:rPr>
          <w:rFonts w:ascii="Times New Roman" w:hAnsi="Times New Roman" w:cs="Times New Roman"/>
          <w:sz w:val="24"/>
          <w:szCs w:val="24"/>
        </w:rPr>
      </w:pPr>
      <w:r w:rsidRPr="006F7DAA">
        <w:rPr>
          <w:rFonts w:ascii="Times New Roman" w:hAnsi="Times New Roman" w:cs="Times New Roman"/>
          <w:sz w:val="24"/>
          <w:szCs w:val="24"/>
        </w:rPr>
        <w:t>Tort law</w:t>
      </w:r>
    </w:p>
    <w:p w:rsidR="006F7DAA" w:rsidRPr="006F7DAA" w:rsidRDefault="006F7DAA" w:rsidP="006F7DAA">
      <w:pPr>
        <w:spacing w:line="480" w:lineRule="auto"/>
        <w:jc w:val="center"/>
        <w:rPr>
          <w:rFonts w:ascii="Times New Roman" w:hAnsi="Times New Roman" w:cs="Times New Roman"/>
          <w:sz w:val="24"/>
          <w:szCs w:val="24"/>
        </w:rPr>
      </w:pPr>
      <w:r w:rsidRPr="006F7DAA">
        <w:rPr>
          <w:rFonts w:ascii="Times New Roman" w:hAnsi="Times New Roman" w:cs="Times New Roman"/>
          <w:sz w:val="24"/>
          <w:szCs w:val="24"/>
        </w:rPr>
        <w:t>Name</w:t>
      </w:r>
    </w:p>
    <w:p w:rsidR="006F7DAA" w:rsidRPr="006F7DAA" w:rsidRDefault="006F7DAA" w:rsidP="006F7DAA">
      <w:pPr>
        <w:spacing w:line="480" w:lineRule="auto"/>
        <w:jc w:val="center"/>
        <w:rPr>
          <w:rFonts w:ascii="Times New Roman" w:hAnsi="Times New Roman" w:cs="Times New Roman"/>
          <w:sz w:val="24"/>
          <w:szCs w:val="24"/>
        </w:rPr>
      </w:pPr>
      <w:r w:rsidRPr="006F7DAA">
        <w:rPr>
          <w:rFonts w:ascii="Times New Roman" w:hAnsi="Times New Roman" w:cs="Times New Roman"/>
          <w:sz w:val="24"/>
          <w:szCs w:val="24"/>
        </w:rPr>
        <w:t>Institution</w:t>
      </w:r>
    </w:p>
    <w:p w:rsidR="006F7DAA" w:rsidRPr="006F7DAA" w:rsidRDefault="006F7DAA" w:rsidP="006F7DAA">
      <w:pPr>
        <w:spacing w:line="480" w:lineRule="auto"/>
        <w:rPr>
          <w:rFonts w:ascii="Times New Roman" w:hAnsi="Times New Roman" w:cs="Times New Roman"/>
          <w:sz w:val="24"/>
          <w:szCs w:val="24"/>
        </w:rPr>
      </w:pPr>
    </w:p>
    <w:p w:rsidR="006F7DAA" w:rsidRPr="006F7DAA" w:rsidRDefault="006F7DAA" w:rsidP="006F7DAA">
      <w:pPr>
        <w:spacing w:line="480" w:lineRule="auto"/>
        <w:rPr>
          <w:rFonts w:ascii="Times New Roman" w:hAnsi="Times New Roman" w:cs="Times New Roman"/>
          <w:sz w:val="24"/>
          <w:szCs w:val="24"/>
        </w:rPr>
      </w:pPr>
    </w:p>
    <w:p w:rsidR="006F7DAA" w:rsidRPr="006F7DAA" w:rsidRDefault="006F7DAA" w:rsidP="006F7DAA">
      <w:pPr>
        <w:spacing w:line="480" w:lineRule="auto"/>
        <w:rPr>
          <w:rFonts w:ascii="Times New Roman" w:hAnsi="Times New Roman" w:cs="Times New Roman"/>
          <w:sz w:val="24"/>
          <w:szCs w:val="24"/>
        </w:rPr>
      </w:pPr>
    </w:p>
    <w:p w:rsidR="006F7DAA" w:rsidRPr="006F7DAA" w:rsidRDefault="006F7DAA" w:rsidP="006F7DAA">
      <w:pPr>
        <w:spacing w:line="480" w:lineRule="auto"/>
        <w:rPr>
          <w:rFonts w:ascii="Times New Roman" w:hAnsi="Times New Roman" w:cs="Times New Roman"/>
          <w:sz w:val="24"/>
          <w:szCs w:val="24"/>
        </w:rPr>
      </w:pPr>
    </w:p>
    <w:p w:rsidR="006F7DAA" w:rsidRPr="006F7DAA" w:rsidRDefault="006F7DAA" w:rsidP="006F7DAA">
      <w:pPr>
        <w:spacing w:line="480" w:lineRule="auto"/>
        <w:rPr>
          <w:rFonts w:ascii="Times New Roman" w:hAnsi="Times New Roman" w:cs="Times New Roman"/>
          <w:sz w:val="24"/>
          <w:szCs w:val="24"/>
        </w:rPr>
      </w:pPr>
    </w:p>
    <w:p w:rsidR="006F7DAA" w:rsidRPr="006F7DAA" w:rsidRDefault="006F7DAA" w:rsidP="006F7DAA">
      <w:pPr>
        <w:spacing w:line="480" w:lineRule="auto"/>
        <w:rPr>
          <w:rFonts w:ascii="Times New Roman" w:hAnsi="Times New Roman" w:cs="Times New Roman"/>
          <w:sz w:val="24"/>
          <w:szCs w:val="24"/>
        </w:rPr>
      </w:pPr>
    </w:p>
    <w:p w:rsidR="006F7DAA" w:rsidRPr="006F7DAA" w:rsidRDefault="006F7DAA" w:rsidP="006F7DAA">
      <w:pPr>
        <w:spacing w:line="480" w:lineRule="auto"/>
        <w:rPr>
          <w:rFonts w:ascii="Times New Roman" w:hAnsi="Times New Roman" w:cs="Times New Roman"/>
          <w:sz w:val="24"/>
          <w:szCs w:val="24"/>
        </w:rPr>
      </w:pPr>
    </w:p>
    <w:p w:rsidR="006F7DAA" w:rsidRDefault="006F7DAA" w:rsidP="006F7DAA">
      <w:pPr>
        <w:spacing w:line="480" w:lineRule="auto"/>
        <w:rPr>
          <w:rFonts w:ascii="Times New Roman" w:hAnsi="Times New Roman" w:cs="Times New Roman"/>
          <w:sz w:val="24"/>
          <w:szCs w:val="24"/>
        </w:rPr>
      </w:pPr>
    </w:p>
    <w:p w:rsidR="006F7DAA" w:rsidRDefault="006F7DAA" w:rsidP="006F7DAA">
      <w:pPr>
        <w:spacing w:line="480" w:lineRule="auto"/>
        <w:rPr>
          <w:rFonts w:ascii="Times New Roman" w:hAnsi="Times New Roman" w:cs="Times New Roman"/>
          <w:sz w:val="24"/>
          <w:szCs w:val="24"/>
        </w:rPr>
      </w:pPr>
    </w:p>
    <w:p w:rsidR="006F7DAA" w:rsidRPr="006F7DAA" w:rsidRDefault="006F7DAA" w:rsidP="006F7DAA">
      <w:pPr>
        <w:spacing w:line="480" w:lineRule="auto"/>
        <w:ind w:left="216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F7DAA">
        <w:rPr>
          <w:rFonts w:ascii="Times New Roman" w:hAnsi="Times New Roman" w:cs="Times New Roman"/>
          <w:sz w:val="24"/>
          <w:szCs w:val="24"/>
        </w:rPr>
        <w:t xml:space="preserve"> Coverage of accidents and injuries in tort law</w:t>
      </w:r>
    </w:p>
    <w:p w:rsidR="006F7DAA" w:rsidRDefault="006F7DAA" w:rsidP="006F7DAA">
      <w:pPr>
        <w:spacing w:line="480" w:lineRule="auto"/>
        <w:ind w:firstLine="720"/>
        <w:rPr>
          <w:rFonts w:ascii="Times New Roman" w:hAnsi="Times New Roman" w:cs="Times New Roman"/>
          <w:sz w:val="24"/>
          <w:szCs w:val="24"/>
        </w:rPr>
      </w:pPr>
      <w:r w:rsidRPr="006F7DAA">
        <w:rPr>
          <w:rFonts w:ascii="Times New Roman" w:hAnsi="Times New Roman" w:cs="Times New Roman"/>
          <w:sz w:val="24"/>
          <w:szCs w:val="24"/>
        </w:rPr>
        <w:t xml:space="preserve">Tort laws are business laws whose purpose is to rule on compensation for losses, damages, or injuries caused by a person to another. In essence, tort law is defined as a section of the law mandated to deal with intentional and accidentals cases of individuals inflicting harm or injury to another person, entity, reputation, or property, thus imposing entitled compensation to the injured. Ideally, tort law functions based on the analogy that people should bear the liability of the consequences associated with their actions, whether accidental or unintentional, in as much as it causes harm to another individual or entity (Meiners et al., 2014). The damages referred to as tortious conduct of a person or an entity result in the liability to compensate for medical expenses, pain and suffering, punitive damage, property damage, and loss of earning </w:t>
      </w:r>
      <w:r>
        <w:rPr>
          <w:rFonts w:ascii="Times New Roman" w:hAnsi="Times New Roman" w:cs="Times New Roman"/>
          <w:sz w:val="24"/>
          <w:szCs w:val="24"/>
        </w:rPr>
        <w:t>capacity.</w:t>
      </w:r>
    </w:p>
    <w:p w:rsidR="006F7DAA" w:rsidRPr="006F7DAA" w:rsidRDefault="006F7DAA" w:rsidP="006F7DAA">
      <w:pPr>
        <w:spacing w:line="480" w:lineRule="auto"/>
        <w:ind w:firstLine="720"/>
        <w:rPr>
          <w:rFonts w:ascii="Times New Roman" w:hAnsi="Times New Roman" w:cs="Times New Roman"/>
          <w:sz w:val="24"/>
          <w:szCs w:val="24"/>
        </w:rPr>
      </w:pPr>
      <w:r w:rsidRPr="006F7DAA">
        <w:rPr>
          <w:rFonts w:ascii="Times New Roman" w:hAnsi="Times New Roman" w:cs="Times New Roman"/>
          <w:sz w:val="24"/>
          <w:szCs w:val="24"/>
        </w:rPr>
        <w:t xml:space="preserve"> In a scenario involving the above harms, the injured person referred to as the plaintiff files a civil lawsuit, and a jury is made to rule on compensation or withdrawal of the liability. However, most people appear to doubt tort coverage on accidents and injuries, perhaps, due to cases of uncompensated injuries and accidents. Undoubtedly, all injuries and accidents are covered by tort law. This emanates from the fact that the central purpose of tort law is to ensure all people have the responsibility of preventing injuries to other persons or property. However, compensation or coverage for civil wrongs to the plaintiff depends on the legitimacy of proves made on elements such as proximate clause, consent of the defendant, duty of care, and contributory defense. Equally, the defendant coverage for liability withdrawal associated with unintentional civil wrongs lies behind the justification of privileges, duty of care, and the existence of contributory negligence.</w:t>
      </w:r>
    </w:p>
    <w:p w:rsidR="006F7DAA" w:rsidRPr="006F7DAA" w:rsidRDefault="006F7DAA" w:rsidP="006F7DAA">
      <w:pPr>
        <w:spacing w:line="480" w:lineRule="auto"/>
        <w:rPr>
          <w:rFonts w:ascii="Times New Roman" w:hAnsi="Times New Roman" w:cs="Times New Roman"/>
          <w:sz w:val="24"/>
          <w:szCs w:val="24"/>
        </w:rPr>
      </w:pPr>
    </w:p>
    <w:p w:rsidR="006F7DAA" w:rsidRPr="006F7DAA" w:rsidRDefault="006F7DAA" w:rsidP="006F7DAA">
      <w:pPr>
        <w:spacing w:line="480" w:lineRule="auto"/>
        <w:ind w:firstLine="720"/>
        <w:rPr>
          <w:rFonts w:ascii="Times New Roman" w:hAnsi="Times New Roman" w:cs="Times New Roman"/>
          <w:sz w:val="24"/>
          <w:szCs w:val="24"/>
        </w:rPr>
      </w:pPr>
      <w:r w:rsidRPr="006F7DAA">
        <w:rPr>
          <w:rFonts w:ascii="Times New Roman" w:hAnsi="Times New Roman" w:cs="Times New Roman"/>
          <w:sz w:val="24"/>
          <w:szCs w:val="24"/>
        </w:rPr>
        <w:lastRenderedPageBreak/>
        <w:t xml:space="preserve">Generally, tort law exists in three main categories, that is, strict liability, negligence, and intentional torts. In each tort, there are elements observed to justify the defendant's privilege or approve compensation for the plaintiff. Intentional torts describe wrongs committed by the defendant willingly and knowingly, thus resulting in damage to person or property (Meiners et al., 2014). In this tort, compensation is made if the defendants is unable to justify his or her actions. Ideally, the court seeks to establish the defender's consent during the action, whether the plaintiff was defending his or her position or another person. If the defender is able to win these privileges, the liability is withheld (Meiners et al., 2014). It means that the filed case on civil wrongs on accident and injuries are covered by intentional tort in as much as the defendant is unable to defend the privileges offered by the lawsuit. </w:t>
      </w:r>
    </w:p>
    <w:p w:rsidR="006F7DAA" w:rsidRDefault="006F7DAA" w:rsidP="006F7DAA">
      <w:pPr>
        <w:spacing w:line="480" w:lineRule="auto"/>
        <w:ind w:firstLine="720"/>
        <w:rPr>
          <w:rFonts w:ascii="Times New Roman" w:hAnsi="Times New Roman" w:cs="Times New Roman"/>
          <w:sz w:val="24"/>
          <w:szCs w:val="24"/>
        </w:rPr>
      </w:pPr>
      <w:r w:rsidRPr="006F7DAA">
        <w:rPr>
          <w:rFonts w:ascii="Times New Roman" w:hAnsi="Times New Roman" w:cs="Times New Roman"/>
          <w:sz w:val="24"/>
          <w:szCs w:val="24"/>
        </w:rPr>
        <w:t>Unlike intentional tort, which focuses on one's consent, negligence tort is ruled based on a number of factors. Often, there exists a standard code of conduct that prevents people from harming others. Hence, the accusation of defendant acts of negligence resulting in harm requires prove of some aspects for compensation to be imposed. According to this tort, negligence applies only when the interests of an injured plaintiff have been interfered with and proved beyond reasonable doubt (Meiners et al., 2014). Therefore, the plaintiff must prove the injuries as well as clearly demonstrate that the defendant caused them.</w:t>
      </w:r>
    </w:p>
    <w:p w:rsidR="006F7DAA" w:rsidRPr="006F7DAA" w:rsidRDefault="006F7DAA" w:rsidP="006F7DAA">
      <w:pPr>
        <w:spacing w:line="480" w:lineRule="auto"/>
        <w:ind w:firstLine="720"/>
        <w:rPr>
          <w:rFonts w:ascii="Times New Roman" w:hAnsi="Times New Roman" w:cs="Times New Roman"/>
          <w:sz w:val="24"/>
          <w:szCs w:val="24"/>
        </w:rPr>
      </w:pPr>
      <w:r w:rsidRPr="006F7DAA">
        <w:rPr>
          <w:rFonts w:ascii="Times New Roman" w:hAnsi="Times New Roman" w:cs="Times New Roman"/>
          <w:sz w:val="24"/>
          <w:szCs w:val="24"/>
        </w:rPr>
        <w:t xml:space="preserve"> Compensation or incarceration of a negligence-based tort depends on the efficacy of some elements. Firstly, the proximate cause or the actual cause of the incident is established. Secondly, each party's duty to prevent foreseeable injury is evaluated. Then, the position of contributory negligence determines who to be held liable for the damage (Meiners et al., 2014). In most cases, defense apply based on the party's position in contributory negligence. Precisely, contributory negligence establishes chances to prove the guilt of negligence. It holds that if the </w:t>
      </w:r>
      <w:r w:rsidRPr="006F7DAA">
        <w:rPr>
          <w:rFonts w:ascii="Times New Roman" w:hAnsi="Times New Roman" w:cs="Times New Roman"/>
          <w:sz w:val="24"/>
          <w:szCs w:val="24"/>
        </w:rPr>
        <w:lastRenderedPageBreak/>
        <w:t xml:space="preserve">damage occurred as a result of plaintiff negligence, there is no compensation (Meiners et al., 2014).  Equally, if the damage occurred as a result of negligence for both parties, the liability is imposed on the plaintiff. However, if the plaintiff had no negligence, the defendant is held accountable. It means that this tort seeks to enforce the duty of all people to prevent injuries in all dimensions. Hence, tort coverage for accidents and injuries resulting from negligence exist only that liability or compensation are imposed based on guiltiness of negligence for both parties. </w:t>
      </w:r>
    </w:p>
    <w:p w:rsidR="006F7DAA" w:rsidRPr="006F7DAA" w:rsidRDefault="006F7DAA" w:rsidP="006F7DAA">
      <w:pPr>
        <w:spacing w:line="480" w:lineRule="auto"/>
        <w:ind w:firstLine="720"/>
        <w:rPr>
          <w:rFonts w:ascii="Times New Roman" w:hAnsi="Times New Roman" w:cs="Times New Roman"/>
          <w:sz w:val="24"/>
          <w:szCs w:val="24"/>
        </w:rPr>
      </w:pPr>
      <w:r w:rsidRPr="006F7DAA">
        <w:rPr>
          <w:rFonts w:ascii="Times New Roman" w:hAnsi="Times New Roman" w:cs="Times New Roman"/>
          <w:sz w:val="24"/>
          <w:szCs w:val="24"/>
        </w:rPr>
        <w:t xml:space="preserve">While negligence and intentional tort engage some elements of limitations, strict liability tort holds that liability is absolute regardless of any intent as far as its fruition is an injury to another person (Meiners et al., 2014).  This tort remains rigid in its provision to protect future occurrence of civil wrongs. It acts on the presumption that when people know that there is no defense for injuries or damage made on other people, they are likely to be responsible for preventing harm or damage to person or entity. </w:t>
      </w:r>
    </w:p>
    <w:p w:rsidR="006F7DAA" w:rsidRDefault="006F7DAA" w:rsidP="006F7DAA">
      <w:pPr>
        <w:spacing w:line="480" w:lineRule="auto"/>
        <w:ind w:firstLine="720"/>
        <w:rPr>
          <w:rFonts w:ascii="Times New Roman" w:hAnsi="Times New Roman" w:cs="Times New Roman"/>
          <w:sz w:val="24"/>
          <w:szCs w:val="24"/>
        </w:rPr>
      </w:pPr>
      <w:r w:rsidRPr="006F7DAA">
        <w:rPr>
          <w:rFonts w:ascii="Times New Roman" w:hAnsi="Times New Roman" w:cs="Times New Roman"/>
          <w:sz w:val="24"/>
          <w:szCs w:val="24"/>
        </w:rPr>
        <w:t>To conclude, all injuries and accidents are covered by tort law. This is proved by the fact that tort law seeks to ensure that all people have the responsibility of preventing injuries to persons and properties.  However, compensation to the plaintiff depends on prove made on elements such as proximate clause, consent of the defendant, duty of care, and contributory defense. Precisely, the research has revealed that all cases of harm to persons or property are covered. However, the decision for compensating a plaintiff lies behind his or her ability to prove injury, duty of care, and interference of interest. Similarly, coverage of liability withdrawal to a defendant associated with unintentional civil wrongs lies behind the justification of privileges, duty of care, and the existence of contributory negligence.</w:t>
      </w:r>
    </w:p>
    <w:p w:rsidR="006F7DAA" w:rsidRDefault="006F7DAA" w:rsidP="006F7DAA">
      <w:pPr>
        <w:spacing w:line="480" w:lineRule="auto"/>
        <w:ind w:firstLine="720"/>
        <w:rPr>
          <w:rFonts w:ascii="Times New Roman" w:hAnsi="Times New Roman" w:cs="Times New Roman"/>
          <w:sz w:val="24"/>
          <w:szCs w:val="24"/>
        </w:rPr>
      </w:pPr>
    </w:p>
    <w:p w:rsidR="006F7DAA" w:rsidRPr="006F7DAA" w:rsidRDefault="006F7DAA" w:rsidP="006F7DA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F7DAA">
        <w:rPr>
          <w:rFonts w:ascii="Times New Roman" w:hAnsi="Times New Roman" w:cs="Times New Roman"/>
          <w:sz w:val="24"/>
          <w:szCs w:val="24"/>
        </w:rPr>
        <w:t>Reference</w:t>
      </w:r>
    </w:p>
    <w:p w:rsidR="006F7DAA" w:rsidRPr="006F7DAA" w:rsidRDefault="006F7DAA" w:rsidP="006F7DAA">
      <w:pPr>
        <w:spacing w:line="480" w:lineRule="auto"/>
        <w:ind w:left="720" w:hanging="720"/>
        <w:rPr>
          <w:rFonts w:ascii="Times New Roman" w:hAnsi="Times New Roman" w:cs="Times New Roman"/>
          <w:sz w:val="24"/>
          <w:szCs w:val="24"/>
        </w:rPr>
      </w:pPr>
      <w:r w:rsidRPr="006F7DAA">
        <w:rPr>
          <w:rFonts w:ascii="Times New Roman" w:hAnsi="Times New Roman" w:cs="Times New Roman"/>
          <w:sz w:val="24"/>
          <w:szCs w:val="24"/>
        </w:rPr>
        <w:t xml:space="preserve">Meiners, R. E., </w:t>
      </w:r>
      <w:proofErr w:type="spellStart"/>
      <w:r w:rsidRPr="006F7DAA">
        <w:rPr>
          <w:rFonts w:ascii="Times New Roman" w:hAnsi="Times New Roman" w:cs="Times New Roman"/>
          <w:sz w:val="24"/>
          <w:szCs w:val="24"/>
        </w:rPr>
        <w:t>Ringleb</w:t>
      </w:r>
      <w:proofErr w:type="spellEnd"/>
      <w:r w:rsidRPr="006F7DAA">
        <w:rPr>
          <w:rFonts w:ascii="Times New Roman" w:hAnsi="Times New Roman" w:cs="Times New Roman"/>
          <w:sz w:val="24"/>
          <w:szCs w:val="24"/>
        </w:rPr>
        <w:t>, A. H., &amp; Edwards, F. L. (2014). The legal environment of business. Cengage Learning.</w:t>
      </w:r>
    </w:p>
    <w:p w:rsidR="00836D29" w:rsidRPr="00197603" w:rsidRDefault="00836D29" w:rsidP="00197603">
      <w:pPr>
        <w:spacing w:line="480" w:lineRule="auto"/>
        <w:rPr>
          <w:rFonts w:ascii="Times New Roman" w:hAnsi="Times New Roman" w:cs="Times New Roman"/>
          <w:sz w:val="24"/>
          <w:szCs w:val="24"/>
        </w:rPr>
      </w:pPr>
    </w:p>
    <w:sectPr w:rsidR="00836D29" w:rsidRPr="00197603" w:rsidSect="00836D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18E" w:rsidRDefault="00C8018E" w:rsidP="00836D29">
      <w:pPr>
        <w:spacing w:after="0" w:line="240" w:lineRule="auto"/>
      </w:pPr>
      <w:r>
        <w:separator/>
      </w:r>
    </w:p>
  </w:endnote>
  <w:endnote w:type="continuationSeparator" w:id="0">
    <w:p w:rsidR="00C8018E" w:rsidRDefault="00C8018E" w:rsidP="00836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18E" w:rsidRDefault="00C8018E" w:rsidP="00836D29">
      <w:pPr>
        <w:spacing w:after="0" w:line="240" w:lineRule="auto"/>
      </w:pPr>
      <w:r>
        <w:separator/>
      </w:r>
    </w:p>
  </w:footnote>
  <w:footnote w:type="continuationSeparator" w:id="0">
    <w:p w:rsidR="00C8018E" w:rsidRDefault="00C8018E" w:rsidP="00836D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39371735"/>
      <w:docPartObj>
        <w:docPartGallery w:val="Page Numbers (Top of Page)"/>
        <w:docPartUnique/>
      </w:docPartObj>
    </w:sdtPr>
    <w:sdtEndPr>
      <w:rPr>
        <w:noProof/>
      </w:rPr>
    </w:sdtEndPr>
    <w:sdtContent>
      <w:p w:rsidR="00836D29" w:rsidRPr="00197603" w:rsidRDefault="00197603">
        <w:pPr>
          <w:pStyle w:val="Header"/>
          <w:rPr>
            <w:rFonts w:ascii="Times New Roman" w:hAnsi="Times New Roman" w:cs="Times New Roman"/>
            <w:sz w:val="24"/>
            <w:szCs w:val="24"/>
          </w:rPr>
        </w:pPr>
        <w:r w:rsidRPr="00197603">
          <w:rPr>
            <w:rFonts w:ascii="Times New Roman" w:hAnsi="Times New Roman" w:cs="Times New Roman"/>
            <w:sz w:val="24"/>
            <w:szCs w:val="24"/>
          </w:rPr>
          <w:t>TORT LAW</w:t>
        </w:r>
        <w:r>
          <w:rPr>
            <w:rFonts w:ascii="Times New Roman" w:hAnsi="Times New Roman" w:cs="Times New Roman"/>
            <w:sz w:val="24"/>
            <w:szCs w:val="24"/>
          </w:rPr>
          <w:tab/>
        </w:r>
        <w:r>
          <w:rPr>
            <w:rFonts w:ascii="Times New Roman" w:hAnsi="Times New Roman" w:cs="Times New Roman"/>
            <w:sz w:val="24"/>
            <w:szCs w:val="24"/>
          </w:rPr>
          <w:tab/>
        </w:r>
        <w:r w:rsidR="00836D29" w:rsidRPr="00197603">
          <w:rPr>
            <w:rFonts w:ascii="Times New Roman" w:hAnsi="Times New Roman" w:cs="Times New Roman"/>
            <w:sz w:val="24"/>
            <w:szCs w:val="24"/>
          </w:rPr>
          <w:fldChar w:fldCharType="begin"/>
        </w:r>
        <w:r w:rsidR="00836D29" w:rsidRPr="00197603">
          <w:rPr>
            <w:rFonts w:ascii="Times New Roman" w:hAnsi="Times New Roman" w:cs="Times New Roman"/>
            <w:sz w:val="24"/>
            <w:szCs w:val="24"/>
          </w:rPr>
          <w:instrText xml:space="preserve"> PAGE   \* MERGEFORMAT </w:instrText>
        </w:r>
        <w:r w:rsidR="00836D29" w:rsidRPr="00197603">
          <w:rPr>
            <w:rFonts w:ascii="Times New Roman" w:hAnsi="Times New Roman" w:cs="Times New Roman"/>
            <w:sz w:val="24"/>
            <w:szCs w:val="24"/>
          </w:rPr>
          <w:fldChar w:fldCharType="separate"/>
        </w:r>
        <w:r w:rsidR="009F631F">
          <w:rPr>
            <w:rFonts w:ascii="Times New Roman" w:hAnsi="Times New Roman" w:cs="Times New Roman"/>
            <w:noProof/>
            <w:sz w:val="24"/>
            <w:szCs w:val="24"/>
          </w:rPr>
          <w:t>5</w:t>
        </w:r>
        <w:r w:rsidR="00836D29" w:rsidRPr="00197603">
          <w:rPr>
            <w:rFonts w:ascii="Times New Roman" w:hAnsi="Times New Roman" w:cs="Times New Roman"/>
            <w:noProof/>
            <w:sz w:val="24"/>
            <w:szCs w:val="24"/>
          </w:rPr>
          <w:fldChar w:fldCharType="end"/>
        </w:r>
      </w:p>
    </w:sdtContent>
  </w:sdt>
  <w:p w:rsidR="00836D29" w:rsidRDefault="00836D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6D29" w:rsidRPr="00836D29" w:rsidRDefault="00836D29">
    <w:pPr>
      <w:pStyle w:val="Header"/>
      <w:rPr>
        <w:rFonts w:ascii="Times New Roman" w:hAnsi="Times New Roman" w:cs="Times New Roman"/>
        <w:sz w:val="24"/>
        <w:szCs w:val="24"/>
      </w:rPr>
    </w:pPr>
    <w:r w:rsidRPr="00836D29">
      <w:rPr>
        <w:rFonts w:ascii="Times New Roman" w:hAnsi="Times New Roman" w:cs="Times New Roman"/>
        <w:sz w:val="24"/>
        <w:szCs w:val="24"/>
      </w:rPr>
      <w:t>Running head: TORT LAW</w:t>
    </w:r>
    <w:sdt>
      <w:sdtPr>
        <w:rPr>
          <w:rFonts w:ascii="Times New Roman" w:hAnsi="Times New Roman" w:cs="Times New Roman"/>
          <w:sz w:val="24"/>
          <w:szCs w:val="24"/>
        </w:rPr>
        <w:id w:val="-169166951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36D29">
          <w:rPr>
            <w:rFonts w:ascii="Times New Roman" w:hAnsi="Times New Roman" w:cs="Times New Roman"/>
            <w:sz w:val="24"/>
            <w:szCs w:val="24"/>
          </w:rPr>
          <w:fldChar w:fldCharType="begin"/>
        </w:r>
        <w:r w:rsidRPr="00836D29">
          <w:rPr>
            <w:rFonts w:ascii="Times New Roman" w:hAnsi="Times New Roman" w:cs="Times New Roman"/>
            <w:sz w:val="24"/>
            <w:szCs w:val="24"/>
          </w:rPr>
          <w:instrText xml:space="preserve"> PAGE   \* MERGEFORMAT </w:instrText>
        </w:r>
        <w:r w:rsidRPr="00836D29">
          <w:rPr>
            <w:rFonts w:ascii="Times New Roman" w:hAnsi="Times New Roman" w:cs="Times New Roman"/>
            <w:sz w:val="24"/>
            <w:szCs w:val="24"/>
          </w:rPr>
          <w:fldChar w:fldCharType="separate"/>
        </w:r>
        <w:r w:rsidR="009F631F">
          <w:rPr>
            <w:rFonts w:ascii="Times New Roman" w:hAnsi="Times New Roman" w:cs="Times New Roman"/>
            <w:noProof/>
            <w:sz w:val="24"/>
            <w:szCs w:val="24"/>
          </w:rPr>
          <w:t>1</w:t>
        </w:r>
        <w:r w:rsidRPr="00836D29">
          <w:rPr>
            <w:rFonts w:ascii="Times New Roman" w:hAnsi="Times New Roman" w:cs="Times New Roman"/>
            <w:noProof/>
            <w:sz w:val="24"/>
            <w:szCs w:val="24"/>
          </w:rPr>
          <w:fldChar w:fldCharType="end"/>
        </w:r>
      </w:sdtContent>
    </w:sdt>
  </w:p>
  <w:p w:rsidR="00836D29" w:rsidRPr="00836D29" w:rsidRDefault="00836D2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D29"/>
    <w:rsid w:val="00092C30"/>
    <w:rsid w:val="000E78DD"/>
    <w:rsid w:val="00197603"/>
    <w:rsid w:val="00197E26"/>
    <w:rsid w:val="00271494"/>
    <w:rsid w:val="0027795F"/>
    <w:rsid w:val="003E2068"/>
    <w:rsid w:val="003E3D71"/>
    <w:rsid w:val="00445F31"/>
    <w:rsid w:val="00447BE9"/>
    <w:rsid w:val="004E1D38"/>
    <w:rsid w:val="00572FD1"/>
    <w:rsid w:val="006212D2"/>
    <w:rsid w:val="006754D1"/>
    <w:rsid w:val="006F7DAA"/>
    <w:rsid w:val="007E5978"/>
    <w:rsid w:val="00836D29"/>
    <w:rsid w:val="008B13C0"/>
    <w:rsid w:val="009A3D67"/>
    <w:rsid w:val="009C7DE4"/>
    <w:rsid w:val="009E5A20"/>
    <w:rsid w:val="009F631F"/>
    <w:rsid w:val="00A166A7"/>
    <w:rsid w:val="00A9208D"/>
    <w:rsid w:val="00AA650A"/>
    <w:rsid w:val="00AE0FDA"/>
    <w:rsid w:val="00B23B6C"/>
    <w:rsid w:val="00B23BA7"/>
    <w:rsid w:val="00BA1643"/>
    <w:rsid w:val="00C535B9"/>
    <w:rsid w:val="00C8018E"/>
    <w:rsid w:val="00D3498D"/>
    <w:rsid w:val="00D57556"/>
    <w:rsid w:val="00D576A8"/>
    <w:rsid w:val="00D70E6E"/>
    <w:rsid w:val="00DB70AD"/>
    <w:rsid w:val="00DD52B4"/>
    <w:rsid w:val="00E75689"/>
    <w:rsid w:val="00E82BC8"/>
    <w:rsid w:val="00EE6C99"/>
    <w:rsid w:val="00F82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E316C4-A0E9-4BE9-A63F-7F8F9E458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D29"/>
  </w:style>
  <w:style w:type="paragraph" w:styleId="Footer">
    <w:name w:val="footer"/>
    <w:basedOn w:val="Normal"/>
    <w:link w:val="FooterChar"/>
    <w:uiPriority w:val="99"/>
    <w:unhideWhenUsed/>
    <w:rsid w:val="00836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user</cp:lastModifiedBy>
  <cp:revision>2</cp:revision>
  <dcterms:created xsi:type="dcterms:W3CDTF">2019-10-31T01:38:00Z</dcterms:created>
  <dcterms:modified xsi:type="dcterms:W3CDTF">2019-10-31T01:38:00Z</dcterms:modified>
</cp:coreProperties>
</file>